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</w:rPr>
        <w:drawing>
          <wp:inline distB="114300" distT="114300" distL="114300" distR="114300">
            <wp:extent cx="966788" cy="86333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66788" cy="8633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Montserrat" w:cs="Montserrat" w:eastAsia="Montserrat" w:hAnsi="Montserrat"/>
          <w:b w:val="1"/>
          <w:sz w:val="60"/>
          <w:szCs w:val="6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60"/>
          <w:szCs w:val="60"/>
          <w:rtl w:val="0"/>
        </w:rPr>
        <w:t xml:space="preserve">Risk</w:t>
      </w:r>
      <w:r w:rsidDel="00000000" w:rsidR="00000000" w:rsidRPr="00000000">
        <w:rPr>
          <w:rFonts w:ascii="Montserrat" w:cs="Montserrat" w:eastAsia="Montserrat" w:hAnsi="Montserrat"/>
          <w:b w:val="1"/>
          <w:sz w:val="60"/>
          <w:szCs w:val="60"/>
          <w:rtl w:val="0"/>
        </w:rPr>
        <w:t xml:space="preserve"> Log Template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Identify the main risks associated with this project, their likelihood and outline how these will be managed.  Think about the project costs, the timeline, and the quality of your project.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Please be sure to identify any known or anticipated changes that could occur in the subsequent year, which could affect the timeline of your project.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Risk identified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Likelihood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Impact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0"/>
                <w:szCs w:val="20"/>
                <w:rtl w:val="0"/>
              </w:rPr>
              <w:t xml:space="preserve">Mitigation plan</w:t>
            </w:r>
          </w:p>
        </w:tc>
      </w:tr>
      <w:tr>
        <w:trPr>
          <w:cantSplit w:val="0"/>
          <w:trHeight w:val="1969.0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E.g. Supply chain disruption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Medium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Shortages of spare parts or delays in logistics could delay refurbishment and delay project completion. Alternative sourcing could increase purchase costs.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Stock needs are calculated in advance and sufficient lead time built in to reduce risk. Key components are held in stock at project start.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AATF industry partner has a fire resulting in  site closure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Low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Project is unable to process and recover target materials leading to project failure. Seeking alternative AATF would lead to delays and potentially higher costs.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Site has robust fire prevention plan and monitoring and mitigation on site. An alternative AATF would be sought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Montserrat" w:cs="Montserrat" w:eastAsia="Montserrat" w:hAnsi="Montserra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